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《胃肠病学和肝病学杂志》</w:t>
      </w:r>
      <w:bookmarkStart w:id="1" w:name="_GoBack"/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稿约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《胃肠病学和肝病学杂志》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Chinese Journal of Gastroenterology and Hepatology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是由郑州大学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主管、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主办，面向国内外公开征稿和发行的消化专业学术期刊，</w:t>
      </w:r>
      <w:r>
        <w:rPr>
          <w:rFonts w:hint="eastAsia"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创刊于1992年，1993年获得正式批准，并荣获“河南省优秀科技期刊二等奖”。1992</w:t>
      </w:r>
      <w:r>
        <w:rPr>
          <w:rFonts w:hint="eastAsia" w:ascii="宋体" w:hAnsi="宋体" w:eastAsia="宋体" w:cs="宋体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2002年为季刊；2003</w:t>
      </w:r>
      <w:r>
        <w:rPr>
          <w:rFonts w:hint="eastAsia" w:ascii="宋体" w:hAnsi="宋体" w:eastAsia="宋体" w:cs="宋体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2007年为双月刊；2008年至今为月刊。2002年至今被中国科技部科技论文统计源期刊（科技部核心期刊）收录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刊宗旨：以提高为主，同时重视普及，努力做到普及与提高并重，遵循“提高指导下的普及和普及基础上的提高”的原则，引导和推动学科的发展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在办刊过程中注重内容的先进性、可读性、适用性、创新性、导向性、及时性和政策性，努力实现编辑和出版标准化。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本刊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所设栏目：指南（专家共识）、述评、专题、论著、短篇论著、个案报道、综述、学术交流和临床病理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病例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讨论、医学基础与临床等栏目。刊登内容：消化系统临床与基础研究（重视临床文章，也欢迎基础文章）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消化系功能性疾病与器质性疾病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消化系肿瘤，与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消化关系密切的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病理生理学、分子生物学、遗传学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:lang w:eastAsia="zh-CN"/>
          <w14:textFill>
            <w14:solidFill>
              <w14:schemeClr w14:val="tx1"/>
            </w14:solidFill>
          </w14:textFill>
        </w:rPr>
        <w:t>相关研究</w:t>
      </w:r>
      <w:r>
        <w:rPr>
          <w:rFonts w:hint="eastAsia" w:ascii="Times New Roman" w:hAnsi="Times New Roman" w:eastAsia="宋体"/>
          <w:color w:val="000000" w:themeColor="text1"/>
          <w:sz w:val="21"/>
          <w:szCs w:val="15"/>
          <w14:textFill>
            <w14:solidFill>
              <w14:schemeClr w14:val="tx1"/>
            </w14:solidFill>
          </w14:textFill>
        </w:rPr>
        <w:t>。定位：主要针对高等院校、科研机构和具有科研实力的医院的作者和读者群体。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欢迎先进性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、科学性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设计合理、数据可靠和统计方法正确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、实用性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对于研究、临床或其他方面有较大指导意义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及可读性强的文章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文稿应表达准确，重点突出，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层次清楚，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文字简练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/>
        <w:textAlignment w:val="auto"/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 文题：力求简明、醒目，反映文章主题。中文题目以20个汉字以内为宜，英文标题以12个实词以内为宜。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 摘要：投稿均需要中英文摘要，论著和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短篇论著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要求结构式的中英文摘要，包括：目的、方法、结果、结论。述评、专题、综述等要求非结构式的中英文摘要，即一段对全文高度概括性的文字。英文摘要一般与中文摘要内容相对应，可以略微详细。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 作者姓名和单位：作者和单位标注在文题下方，所有作者姓名均列出，单位或科室不完全一致时，应逐一列出不同作者的不同单位。如：田  翀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，高  青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2   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重庆市东南医院消化内科，重庆 401336；2. 重庆医科大学附属第一医院消化内科。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标注：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姓前名后，姓大写，名的首字母大写，作者间加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。如：李西安应写为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LI Xi’an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，而李显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贤、先、献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则为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LI Xian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。通讯作者的信息应标注在文章首页的左下角，内容包括：通讯作者姓名、职称、学历、研究方向、联系方式（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E-mail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 关键词：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个，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请尽量从美国国立医学图书馆的《医学主题词表（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MeSH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）》数据库（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http://www.ncbi.nlm.nih.gov/entrez/query.fcgi?db=mesh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）中选取。如最新版中尚无相应的词，中文译名可参照中国医学科学院信息研究所编译的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《医学主题词注释字顺表》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。未被词表收录的专业术语（自由词），可直接作为关键词使用。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 中图分类号：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中图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分类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号应按新版《中国图书馆分类法》标注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可选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个，主分类号排前，其间用分号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分隔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 图表：图表随文，分别按其在正文中出现的先后次序连续编码，每幅图表应冠有图（表）题。说明性资料应置于图表下方的注释中，并在注释中标明图表中使用的缩略语。表格建议使用三线表（顶线、表头线、底线），表内数据要求同一指标有效位数一致。图片要有良好的清晰度和对比度。大体标本照片在图内应有尺度标记。病理照片要有染色方法和放大倍数。图表中如有引自他刊者，应注明出处。表题和图题用中英文对照标注，中文在上方，英文在下方居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 医学名词：应使用全国科学技术名词审定委员会公布的名词。尚未通过审定的学科名词，可选用最新版《医学主题词表（MeSH）》、《医学主题词注释字顺表》、《中医药主题词表》中的主题词。对没有通用译名的名词术语于文内第一次出现时应注明原词。中西药名以最新版本《中华人民共和国药典》和《中国药品通用名称》（均由中国药典委员会编写）为准。确实需要使用商品名时应先注明其通用名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9. 统计学符号：按GB3358.1-2009《统计学词汇及符号》的有关规定，一律采用斜体。我刊常用有：</w:t>
      </w:r>
      <w:r>
        <w:rPr>
          <w:rFonts w:ascii="Times New Roman" w:hAnsi="Times New Roman" w:eastAsia="宋体"/>
          <w:i/>
          <w:color w:val="000000" w:themeColor="text1"/>
          <w:position w:val="-6"/>
          <w:sz w:val="21"/>
          <w14:textFill>
            <w14:solidFill>
              <w14:schemeClr w14:val="tx1"/>
            </w14:solidFill>
          </w14:textFill>
        </w:rPr>
        <w:object>
          <v:shape id="_x0000_i1025" o:spt="75" type="#_x0000_t75" style="height:13pt;width:11pt;" o:ole="t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± </w:t>
      </w:r>
      <w:r>
        <w:rPr>
          <w:rFonts w:ascii="Times New Roman" w:hAnsi="Times New Roman" w:eastAsia="宋体"/>
          <w:i/>
          <w:color w:val="000000" w:themeColor="text1"/>
          <w:sz w:val="2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i w:val="0"/>
          <w:iCs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（均数</w:t>
      </w:r>
      <w:r>
        <w:rPr>
          <w:rFonts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eastAsia="宋体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标准差</w:t>
      </w:r>
      <w:r>
        <w:rPr>
          <w:rFonts w:hint="eastAsia" w:ascii="Times New Roman" w:hAnsi="Times New Roman" w:eastAsia="宋体"/>
          <w:i w:val="0"/>
          <w:iCs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/>
          <w:i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/>
          <w:i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宋体"/>
          <w:i w:val="0"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（中位数）、</w:t>
      </w:r>
      <w:r>
        <w:rPr>
          <w:rFonts w:hint="eastAsia" w:ascii="Times New Roman" w:hAnsi="Times New Roman" w:eastAsia="宋体"/>
          <w:i/>
          <w:iCs w:val="0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eastAsia="宋体"/>
          <w:i w:val="0"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检验、</w:t>
      </w:r>
      <w:r>
        <w:rPr>
          <w:rFonts w:ascii="Times New Roman" w:hAnsi="Times New Roman" w:eastAsia="宋体"/>
          <w:i/>
          <w:iCs/>
          <w:color w:val="000000" w:themeColor="text1"/>
          <w:sz w:val="21"/>
          <w14:textFill>
            <w14:solidFill>
              <w14:schemeClr w14:val="tx1"/>
            </w14:solidFill>
          </w14:textFill>
        </w:rPr>
        <w:t>χ</w:t>
      </w:r>
      <w:r>
        <w:rPr>
          <w:rFonts w:ascii="Times New Roman" w:hAnsi="Times New Roman" w:eastAsia="宋体"/>
          <w:i/>
          <w:iCs/>
          <w:color w:val="000000" w:themeColor="text1"/>
          <w:sz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eastAsia="zh-CN"/>
          <w14:textFill>
            <w14:solidFill>
              <w14:schemeClr w14:val="tx1"/>
            </w14:solidFill>
          </w14:textFill>
        </w:rPr>
        <w:t>检验、</w:t>
      </w:r>
      <w:r>
        <w:rPr>
          <w:rFonts w:hint="eastAsia" w:ascii="Times New Roman" w:hAnsi="Times New Roman" w:eastAsia="宋体"/>
          <w:i/>
          <w:iCs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检验、</w:t>
      </w:r>
      <w:r>
        <w:rPr>
          <w:rFonts w:hint="eastAsia" w:ascii="Times New Roman" w:hAnsi="Times New Roman" w:eastAsia="宋体"/>
          <w:i/>
          <w:iCs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（相关系数）、</w:t>
      </w:r>
      <w:r>
        <w:rPr>
          <w:rFonts w:hint="eastAsia" w:ascii="Times New Roman" w:hAnsi="Times New Roman" w:eastAsia="宋体"/>
          <w:i/>
          <w:iCs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值、</w:t>
      </w:r>
      <w:r>
        <w:rPr>
          <w:rFonts w:hint="eastAsia" w:ascii="Times New Roman" w:hAnsi="Times New Roman" w:eastAsia="宋体"/>
          <w:i/>
          <w:iCs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值等。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10. 计量单位：执行GB 3100~3102-1993《量和单位》中有关量、单位和符号的规定及其书写规则，单位名称和单位符号不可混用。组合单位符号中表示相除的斜线对于1条时，应采用负数幂的形式表示，如：ng/kg/min是错误的，应该写成ng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·kg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-1</w:t>
      </w:r>
      <w:bookmarkStart w:id="0" w:name="OLE_LINK1"/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·min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-1</w:t>
      </w:r>
      <w:bookmarkEnd w:id="0"/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的形式，组合单位中斜线和负数幂不可混用，比如：</w:t>
      </w:r>
      <w:r>
        <w:rPr>
          <w:rFonts w:hint="eastAsia" w:ascii="Times New Roman" w:hAnsi="Times New Roman" w:eastAsia="宋体"/>
          <w:i w:val="0"/>
          <w:iCs w:val="0"/>
          <w:color w:val="000000" w:themeColor="text1"/>
          <w:sz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ng/kg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·min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是错误的。尽可能使用单位符号，也可以与非物理单位（如：人、次、台等）的汉字构成组合形式的单位，如：次/d。参量及其公差值均需附单位，当参量与其公差的单位相同时，单位可只写1次，即加圆括号将数值组合，置于共同单位符号于全部数值之后，如：15.1 mg/L</w:t>
      </w:r>
      <w:r>
        <w:rPr>
          <w:rFonts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± 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3.6 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mg/L，可以写成（15.1</w:t>
      </w:r>
      <w:r>
        <w:rPr>
          <w:rFonts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± 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）mg/L。但，数字后面是数量级而不是单位时，不能随便简写或扩写，如(25±2)%, 不能写成25±2%，因为这是一个偏差概念，也不能写成25%±2%。量单位用正体表示，但量的符号一律用斜体表示，如吸光度的符号为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，那么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 w:cs="宋体"/>
          <w:i w:val="0"/>
          <w:iCs w:val="0"/>
          <w:color w:val="000000" w:themeColor="text1"/>
          <w:sz w:val="21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一定是斜体。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/>
        <w:textAlignment w:val="auto"/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11. 数字：执行GB/T15835-2011《出版物上数字用法》。公历世纪、年代、年、月、日、时刻和计数、计量均用阿拉伯数字。小数点前或后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4位数字时，每3位一组，组间空1/4个汉字格，如38456.47858，应写成38 456.478 58。但序数词和年份、页数、部队番号、仪表型号、标准号不分节。百分数的范围和偏差，前一个数字的百分符号不能省略，如：10%～30%，不能写成10～30%。尺寸单位的数值相乘，应写成3 cm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 cm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 cm，不能写成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 cm或者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 cm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/>
        <w:textAlignment w:val="auto"/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Arial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12. 文字：严格执行《中华人民共和国国家通用语言文字法（2000-10-31）》和新闻出版总署2010年12月24日发布的《关于进一步规范出版物文字使用的通知》，以及1992年新闻出版署、国家语言文字工作委员会发布的《出版物汉字使用管理规定》，以1986年10月国家语言文字工作委员会重新发布的《简化字总表》和1988年3月国家语言文字工作委员会和新闻出版署发布的《现代汉语通用字表》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13. 缩略语：文题尽量不使用缩略语，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中尽量少使用缩略语。已经被公知公认的缩略语可以不加缩略语不加注释直接使用，如：DNA、RNA、HBsAg、PCR等。不常用的、尚未被公知公认的缩略语以及原词过长、在文中多次出现者，若为中文，可于文中第一次出现时写出全称，在圆括号内写出缩写语；若为外文，可于文中第一次出现时，写出中文全称，在圆括号内写出英文全称及其缩略语，如：</w:t>
      </w: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幽门螺旋杆菌（Helicobacter pylori，</w:t>
      </w:r>
      <w:r>
        <w:rPr>
          <w:rFonts w:hint="eastAsia" w:ascii="Times New Roman" w:hAnsi="Times New Roman" w:eastAsia="宋体" w:cs="宋体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H.pylori</w:t>
      </w: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。不超过</w:t>
      </w: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4个汉字的名词不宜使用缩略语。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14. 统计学方法：尽量详细描述，建议补充有关统计研究设计、资料的表达与描述、统计分析方法的选择、统计结果的解释和表达等要求。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15. 医学伦理问题及知情同意：须遵循医学伦理基本原则。当论文的主体是以人为研究对象时，作者应注明其遵循的程序是否符合负责人体试验的委员会（单位性的、地区性的或国家性的）制定的伦理学标准，该委员会的批准文件及受试对象或其亲属的知情同意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16. 参考文献著录格式：执行GB/T7714-2015《信息与文献 参考文献著录规则》。应尽量选择5年以内的文献进行综述。采用顺序编码制著录，依照其在文中出现的先后顺序用阿拉伯数字标出，并将序号置于方括号中，排列于文后。内部刊物、未发表资料、个人通讯等请勿作为文献引用。日文汉字请按照日文规定书写，勿与我国汉字及简化字混淆。同一文献作者不超过3人全部著录，超过3人可以只著录前3人，后加“，等”。作者姓名一律姓氏在前，名字在后，外国人其姓全部著录，字母全大写，名可缩写为首字母，缩写名后省略缩写点。不同姓名之间用“，”隔开，不用“和”、“and”等连词。用汉语拼音书写的人名，姓大写，名可缩写，取每个汉字拼音的首字母，缩写省略点。题名后标注文献类型。引用的中文参考文献，原文中有外文题名信息的，用双语著录，双语著录参考文献时，首先用信息资源的原种著录，然后用外文语种著录。文献类型和电子文献载体标志代码参照GB 3469-1983《文献类型与文献载体代码》。外文期刊名称用缩写，可以采用国际医学期刊编辑委员会推荐的NLM</w:t>
      </w:r>
      <w:r>
        <w:rPr>
          <w:rFonts w:hint="default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 Citing Medicine (http://www.ncbi.nlm.nih.gov/books/NBK7256) 中的格式。中文期刊用全名。文献DOI号需著录在该条文献最后。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>]  DISTRUTTI E, CIPRIANI S, MENCARELLI A, et al. Probiotics VSL#3 protect against development of visceral pain in murine model of irritable bowel syndrome [J]. PLoS One, 2013, 8(5): e63893.doi: 10.1371/journal.pone.0063893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10" w:firstLineChars="1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[2] 陆佳, 方秀才. 乳杆菌属治疗肠易激综合征的机制[J]. 胃肠病学和肝病学杂志, 2017, 26(2): 218-221.doi:10.3969/j.issn.1006-5709.2017.02.028.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LU J, FANG X C. Mechanism of Lactobacillus in the treatment of irritable bowel syndrome [J]. Chin J Gastroenterol Hepatol, 2017, 26(2): 218-221.doi:10.3969/j.issn.1006-5709.2017.02.028.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致谢：置于正文后、参考文献前。用于对参与部分工作、提供技术性帮助、提供工作方便、给予指导但尚达不到作者资格者，以及提供资助的团体或个人表示感谢。文字力求简练，评价得当，并应征得被致谢人同意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基金项目：论文涉及的课题如国家或部、省级以上基金或攻关项目，应予以注明。著录于文章第一页左下角。标注格式如下：基金项目：国家自然科学基金（30271296）。并须附基金项目证明复印件。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单位介绍信：来稿需经作者单位审核，并附单位介绍信，介绍信应注明对稿件的审评意见以及无一稿两投、不涉及保密、署明无争议等，并加盖公章。如涉及保密问题，需附有关部门审查同意发表的证明。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审稿：我刊实行以同行审稿为基础的三审制度（编辑初审、专家外审、编委会终审）。审稿过程中保护作者稿件的私密权。对不拟刊用的稿件告知退稿意见，对稿件处理有不同意见者，作者有权申请复议，并提出申诉的文字说明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稿件处理时限：根据《中华人民共和国著作权法》，并结合我刊实际情况，凡接到本刊收稿回执后3个月内未接到稿件处理通知者，则稿件仍在审阅中。作者如欲投他刊，务必事先与编辑部联系，否则将视为一稿多投，作退稿处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著作权事项：作者对来稿的真实性及科学性负责，依照《中华人民共和国著作权法》有关规定，本刊可以对来稿做文字修改、删节。凡有涉及原意的修改，提出并给作者考虑，征得作者的同意。修改稿逾期1个月不返回者，视为自动撤稿。来稿一经接受刊登，视为论文的专有使用权归我刊所有。我刊有权以电子期刊、APP终端、微信等其他方式出版刊登该论文，未经我刊同意，论文的任何部分不得转载他处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版面费事宜：目前，我刊不收审稿费，确认稿件可以刊登，即录用后，需按照录用通知的要求缴纳版面费。版面费的多少按照所占版面收取，稿件中有彩图的，需要另外付彩图印刷工本费。录用后超过2个月不缴费，视为自动退稿，不再接收版面费。为了避免一稿两投，版面费一旦缴纳，视为同意在我刊发表，没有特殊原因，一概不退费。稿件刊登后，快递寄送两本当期杂志和发票给作者，随后再平邮赠送给作者4期杂志作为稿酬。</w:t>
      </w:r>
    </w:p>
    <w:p>
      <w:pPr>
        <w:spacing w:before="100" w:beforeAutospacing="1" w:after="100" w:afterAutospacing="1" w:line="315" w:lineRule="atLeast"/>
        <w:ind w:firstLine="356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投稿方式：目前，我刊不接受纸质来稿，稿件可以经我刊投稿系统投稿（</w:t>
      </w:r>
      <w:r>
        <w:rPr>
          <w:rFonts w:hint="eastAsia"/>
          <w:color w:val="000000"/>
          <w:szCs w:val="21"/>
        </w:rPr>
        <w:t>http://wcbx.cbpt.cnki.net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）或我刊官方邮箱投稿（wcbx@chinajournal.net.cn），并附单位介绍信，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单位介绍信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基金证明或批文复印件可以通过扫描或数码相机拍照后通过邮件发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编辑部。当通过电子邮件发送图片时，请发送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TIF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BMP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格式的文件</w:t>
      </w:r>
      <w:r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。稿件处理结果将通过我刊官方邮箱反馈给作者。咨询电话：0371-66912916。通讯地址：河南省郑州市二七区大学路40号《胃肠病学和肝病学杂志》编辑部，邮编：450052。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hint="eastAsia" w:ascii="Times New Roman" w:hAnsi="Times New Roman" w:eastAsia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5588"/>
    <w:multiLevelType w:val="singleLevel"/>
    <w:tmpl w:val="5A1E55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1E55BA"/>
    <w:multiLevelType w:val="singleLevel"/>
    <w:tmpl w:val="5A1E55BA"/>
    <w:lvl w:ilvl="0" w:tentative="0">
      <w:start w:val="1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260AD"/>
    <w:rsid w:val="0EEA4C3E"/>
    <w:rsid w:val="119F468C"/>
    <w:rsid w:val="1EF56CAF"/>
    <w:rsid w:val="200044DB"/>
    <w:rsid w:val="295E55AF"/>
    <w:rsid w:val="297968C4"/>
    <w:rsid w:val="2B56127D"/>
    <w:rsid w:val="367E05B0"/>
    <w:rsid w:val="522C3A4B"/>
    <w:rsid w:val="635260AD"/>
    <w:rsid w:val="661E4683"/>
    <w:rsid w:val="70797481"/>
    <w:rsid w:val="78E763BE"/>
    <w:rsid w:val="7BF00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2017-11-23T05:49:00Z</dcterms:created>
  <dc:creator>Administrator</dc:creator>
  <cp:lastModifiedBy>欣宝萌宝妈咪</cp:lastModifiedBy>
  <cp:lastPrinted>2017-11-30T01:32:00Z</cp:lastPrinted>
  <dcterms:modified xsi:type="dcterms:W3CDTF">2019-04-30T07:22:07Z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