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《行政管理改革》版权声明：</w:t>
      </w:r>
      <w:r>
        <w:rPr>
          <w:rFonts w:hint="eastAsia"/>
          <w:sz w:val="30"/>
          <w:szCs w:val="30"/>
        </w:rPr>
        <w:t>本刊已许可中国知网、万方数据、维普网、人民网、中国经济网、中国社会科学网、理论网等网站以数字化方式复制、汇编、发行、传播本刊全文。其著作权使用费与本刊稿酬一并支付。作者向本刊提交发表的行为即视为同意我编辑部上述声明。其他媒体转载请注明出处，本刊保留追究侵权责任的权利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87418"/>
    <w:rsid w:val="2CF8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2020-06-23T07:41:00Z</dcterms:created>
  <dc:creator>Administrator</dc:creator>
  <cp:lastModifiedBy>Administrator</cp:lastModifiedBy>
  <dcterms:modified xsi:type="dcterms:W3CDTF">2020-06-23T07:42:00Z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